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13</w:t>
      </w:r>
      <w:r w:rsidRPr="00CA0B38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February 2015 </w:t>
      </w:r>
    </w:p>
    <w:p w:rsidR="00CA0B38" w:rsidRP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Pr="00CA0B38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Posts Third Consecutive Year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b/>
          <w:bCs/>
          <w:sz w:val="22"/>
          <w:szCs w:val="22"/>
          <w:lang w:val="en-GB"/>
        </w:rPr>
        <w:t>of Record Sales and Earnings</w:t>
      </w:r>
    </w:p>
    <w:p w:rsidR="00CA0B38" w:rsidRP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A0B38">
        <w:rPr>
          <w:rFonts w:ascii="Arial" w:eastAsia="Calibri" w:hAnsi="Arial" w:cs="Arial"/>
          <w:sz w:val="22"/>
          <w:szCs w:val="22"/>
          <w:lang w:val="en-GB"/>
        </w:rPr>
        <w:t>Tokyo - The Yokohama Rubber Co., Ltd., announced today that its net sales, operating income, and net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income climbed to record levels in fiscal 2014 (January to December 2014) for the third consecutive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year. The strong sales and earnings performance reflected robust growth in t</w:t>
      </w:r>
      <w:r w:rsidR="00FD7449">
        <w:rPr>
          <w:rFonts w:ascii="Arial" w:eastAsia="Calibri" w:hAnsi="Arial" w:cs="Arial"/>
          <w:sz w:val="22"/>
          <w:szCs w:val="22"/>
          <w:lang w:val="en-GB"/>
        </w:rPr>
        <w:t>y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re business in the original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equipment market in Japan and vigorous sales gains in markets overseas. It also reflected sales growth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in industrial products and in other products, led by gains in high-pressure hoses, in sealants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adhesives, and in aircraft fixtures and components. Earnings benefited from a decline in raw material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costs and from the weakening of the yen, as well as from the sales growth.</w:t>
      </w:r>
    </w:p>
    <w:p w:rsidR="00CA0B38" w:rsidRP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Net income at </w:t>
      </w:r>
      <w:r w:rsidR="00FD7449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 in 2014 increased 15.7% over the previous year, to 40.5 billion yen, on a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4.3% increase in operating income, to 59.1 billion yen, and a 3.9% increase in net sales, to 625.3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billion yen. Management plans to increase the annual dividend 4 yen, to 26 yen. That would comprise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the interim dividend of 12 yen, up from 10 yen in 2013, and a proposed year-end dividend of 14 yen,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up from 12 yen in 2013.</w:t>
      </w:r>
    </w:p>
    <w:p w:rsidR="00CA0B38" w:rsidRP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A0B38">
        <w:rPr>
          <w:rFonts w:ascii="Arial" w:eastAsia="Calibri" w:hAnsi="Arial" w:cs="Arial"/>
          <w:sz w:val="22"/>
          <w:szCs w:val="22"/>
          <w:lang w:val="en-GB"/>
        </w:rPr>
        <w:t>Operating income in Y</w:t>
      </w:r>
      <w:r w:rsidR="00FD7449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’</w:t>
      </w:r>
      <w:r w:rsidR="00FD7449">
        <w:rPr>
          <w:rFonts w:ascii="Arial" w:eastAsia="Calibri" w:hAnsi="Arial" w:cs="Arial"/>
          <w:sz w:val="22"/>
          <w:szCs w:val="22"/>
          <w:lang w:val="en-GB"/>
        </w:rPr>
        <w:t>s ty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re operations increased 5.6%, to 48.6 billion yen, on sales growth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of 3.8%, to 497.6 billion yen. The sales increase in the Japanese original equipment market resulted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from growth vehicle production and from Y</w:t>
      </w:r>
      <w:r w:rsidR="00FD7449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’s success in promoting fuel-saving t</w:t>
      </w:r>
      <w:r w:rsidR="00FD7449">
        <w:rPr>
          <w:rFonts w:ascii="Arial" w:eastAsia="Calibri" w:hAnsi="Arial" w:cs="Arial"/>
          <w:sz w:val="22"/>
          <w:szCs w:val="22"/>
          <w:lang w:val="en-GB"/>
        </w:rPr>
        <w:t>y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res to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automakers. Sales in the Japanese replacement market were basically unchanged from the previous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year in unit volume and in value. A surge in demand preceded the </w:t>
      </w:r>
      <w:r w:rsidR="00FD7449">
        <w:rPr>
          <w:rFonts w:ascii="Arial" w:eastAsia="Calibri" w:hAnsi="Arial" w:cs="Arial"/>
          <w:sz w:val="22"/>
          <w:szCs w:val="22"/>
          <w:lang w:val="en-GB"/>
        </w:rPr>
        <w:t>1</w:t>
      </w:r>
      <w:r w:rsidR="00FD7449" w:rsidRPr="00FD7449">
        <w:rPr>
          <w:rFonts w:ascii="Arial" w:eastAsia="Calibri" w:hAnsi="Arial" w:cs="Arial"/>
          <w:sz w:val="22"/>
          <w:szCs w:val="22"/>
          <w:vertAlign w:val="superscript"/>
          <w:lang w:val="en-GB"/>
        </w:rPr>
        <w:t>st</w:t>
      </w:r>
      <w:r w:rsidR="00FD7449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April hike in Japan’s national sales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tax, and heavy snows occasioned solid growth in sales of snow t</w:t>
      </w:r>
      <w:r w:rsidR="00FD7449">
        <w:rPr>
          <w:rFonts w:ascii="Arial" w:eastAsia="Calibri" w:hAnsi="Arial" w:cs="Arial"/>
          <w:sz w:val="22"/>
          <w:szCs w:val="22"/>
          <w:lang w:val="en-GB"/>
        </w:rPr>
        <w:t>y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res. Offsetting those positive factors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were a slump in demand in the wake of the sales tax hike and escalating price competition. In overseas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business, </w:t>
      </w:r>
      <w:r w:rsidR="00FD7449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 posted sales gains in unit volume and in value. The company’s t</w:t>
      </w:r>
      <w:r w:rsidR="00FD7449">
        <w:rPr>
          <w:rFonts w:ascii="Arial" w:eastAsia="Calibri" w:hAnsi="Arial" w:cs="Arial"/>
          <w:sz w:val="22"/>
          <w:szCs w:val="22"/>
          <w:lang w:val="en-GB"/>
        </w:rPr>
        <w:t>y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re business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continued to expand in China and in remerging markets, and it exhibited recovery in Europe.</w:t>
      </w:r>
    </w:p>
    <w:p w:rsidR="00CA0B38" w:rsidRP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A0B38">
        <w:rPr>
          <w:rFonts w:ascii="Arial" w:eastAsia="Calibri" w:hAnsi="Arial" w:cs="Arial"/>
          <w:sz w:val="22"/>
          <w:szCs w:val="22"/>
          <w:lang w:val="en-GB"/>
        </w:rPr>
        <w:t>In Y</w:t>
      </w:r>
      <w:r w:rsidR="00FD7449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’s industrial products business, operating income declined 1.4%, to 7.6 billion yen, on a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4.7% increase in sales, to 101.5 billion yen. That business consists mainly of high-pressure hoses,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sealants and adhesives, conveyor belts, anti-seismic products, marine hoses, and marine fenders.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FD7449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 posted strong growth in sales of high-pressure hoses for construction equipment.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Stimulating demand for those products were toughened Japanese regulations on exhaust emissions. In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industrial materials, sales increased strongly in conveyor belts and in marine hoses. Business expanded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in sealants and adhesives and in electronic materials, led by gains in the construction sector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automotive sector.</w:t>
      </w:r>
    </w:p>
    <w:p w:rsidR="00CA0B38" w:rsidRP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A0B38">
        <w:rPr>
          <w:rFonts w:ascii="Arial" w:eastAsia="Calibri" w:hAnsi="Arial" w:cs="Arial"/>
          <w:sz w:val="22"/>
          <w:szCs w:val="22"/>
          <w:lang w:val="en-GB"/>
        </w:rPr>
        <w:t>Y</w:t>
      </w:r>
      <w:r w:rsidR="00FD7449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’s operating income in other products declined 2.1%, to 2.9 billion yen, on a 4.0% increase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in sales, to 26.2 billion yen. The company’s business in this category </w:t>
      </w:r>
      <w:r w:rsidR="00FD7449" w:rsidRPr="00CA0B38">
        <w:rPr>
          <w:rFonts w:ascii="Arial" w:eastAsia="Calibri" w:hAnsi="Arial" w:cs="Arial"/>
          <w:sz w:val="22"/>
          <w:szCs w:val="22"/>
          <w:lang w:val="en-GB"/>
        </w:rPr>
        <w:t>centres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 on aircraft fixtures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components and on golf equipment. Highlighting Y</w:t>
      </w:r>
      <w:r w:rsidR="00FD7449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’s business in aircraft fixtures and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components were sales gains in replacement products in the government sector and in lavatory units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for small passenger aircraft in the private sector. </w:t>
      </w:r>
      <w:r w:rsidR="00FD7449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 posted sales growth in golf equipment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despite a decline in demand associated with the hike in the Japanese sales tax.</w:t>
      </w:r>
    </w:p>
    <w:p w:rsidR="00CA0B38" w:rsidRP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A0B38">
        <w:rPr>
          <w:rFonts w:ascii="Arial" w:eastAsia="Calibri" w:hAnsi="Arial" w:cs="Arial"/>
          <w:sz w:val="22"/>
          <w:szCs w:val="22"/>
          <w:lang w:val="en-GB"/>
        </w:rPr>
        <w:t>In 2015, Y</w:t>
      </w:r>
      <w:r w:rsidR="00FD7449">
        <w:rPr>
          <w:rFonts w:ascii="Arial" w:eastAsia="Calibri" w:hAnsi="Arial" w:cs="Arial"/>
          <w:sz w:val="22"/>
          <w:szCs w:val="22"/>
          <w:lang w:val="en-GB"/>
        </w:rPr>
        <w:t>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’s projections call for another year of record results in operating income and net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sales. Management </w:t>
      </w:r>
      <w:r w:rsidR="00FD7449">
        <w:rPr>
          <w:rFonts w:ascii="Arial" w:eastAsia="Calibri" w:hAnsi="Arial" w:cs="Arial"/>
          <w:sz w:val="22"/>
          <w:szCs w:val="22"/>
          <w:lang w:val="en-GB"/>
        </w:rPr>
        <w:t>forecasts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 that oper</w:t>
      </w:r>
      <w:r w:rsidR="00FD7449">
        <w:rPr>
          <w:rFonts w:ascii="Arial" w:eastAsia="Calibri" w:hAnsi="Arial" w:cs="Arial"/>
          <w:sz w:val="22"/>
          <w:szCs w:val="22"/>
          <w:lang w:val="en-GB"/>
        </w:rPr>
        <w:t>ating income will increase 8.4%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 to 64.0 billion yen</w:t>
      </w:r>
      <w:r w:rsidR="00FD7449">
        <w:rPr>
          <w:rFonts w:ascii="Arial" w:eastAsia="Calibri" w:hAnsi="Arial" w:cs="Arial"/>
          <w:sz w:val="22"/>
          <w:szCs w:val="22"/>
          <w:lang w:val="en-GB"/>
        </w:rPr>
        <w:t>,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 on a 7.6%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increase in net sales to 673.0 billion yen. It expects an 11.1% decline in net income, to 36.0 billion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yen.</w:t>
      </w:r>
    </w:p>
    <w:p w:rsidR="00CA0B38" w:rsidRDefault="00CA0B38">
      <w:pPr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br w:type="page"/>
      </w: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CA0B38" w:rsidRP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CA0B38">
        <w:rPr>
          <w:rFonts w:ascii="Arial" w:eastAsia="Calibri" w:hAnsi="Arial" w:cs="Arial"/>
          <w:b/>
          <w:bCs/>
          <w:sz w:val="22"/>
          <w:szCs w:val="22"/>
          <w:lang w:val="en-GB"/>
        </w:rPr>
        <w:t>Financial Highlights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Jan. 1–Dec. 31, 2014 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</w:rPr>
              <w:t>Jan. 1–Dec. 31, 2013</w:t>
            </w:r>
          </w:p>
        </w:tc>
      </w:tr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Net sales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625,245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601,629</w:t>
            </w:r>
          </w:p>
        </w:tc>
      </w:tr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Operating income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59,066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56,647</w:t>
            </w:r>
          </w:p>
        </w:tc>
      </w:tr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Income before income taxes and</w:t>
            </w:r>
          </w:p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minority interests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62,594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55,819</w:t>
            </w:r>
          </w:p>
        </w:tc>
      </w:tr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Net income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40,502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35,007</w:t>
            </w:r>
          </w:p>
        </w:tc>
      </w:tr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Net assets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330,782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279,020</w:t>
            </w:r>
          </w:p>
        </w:tc>
      </w:tr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Total assets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734,511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653,584</w:t>
            </w:r>
          </w:p>
        </w:tc>
      </w:tr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Per share (yen):</w:t>
            </w:r>
          </w:p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Net income: basic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125.34</w:t>
            </w: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108.32</w:t>
            </w:r>
          </w:p>
        </w:tc>
      </w:tr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CA0B38" w:rsidRPr="00CA0B38" w:rsidTr="00CA0B38">
        <w:tc>
          <w:tcPr>
            <w:tcW w:w="3070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CA0B38" w:rsidRPr="00CA0B38" w:rsidRDefault="00CA0B38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</w:tbl>
    <w:p w:rsidR="00CA0B38" w:rsidRPr="00CA0B38" w:rsidRDefault="00CA0B38" w:rsidP="00CA0B38">
      <w:pPr>
        <w:autoSpaceDE w:val="0"/>
        <w:autoSpaceDN w:val="0"/>
        <w:adjustRightInd w:val="0"/>
        <w:ind w:left="720"/>
        <w:jc w:val="both"/>
        <w:rPr>
          <w:rFonts w:ascii="Arial" w:eastAsia="Calibri" w:hAnsi="Arial" w:cs="Arial"/>
          <w:i/>
          <w:sz w:val="22"/>
          <w:szCs w:val="22"/>
          <w:lang w:val="en-GB"/>
        </w:rPr>
      </w:pPr>
      <w:r w:rsidRPr="00CA0B38">
        <w:rPr>
          <w:rFonts w:ascii="Arial" w:eastAsia="Calibri" w:hAnsi="Arial" w:cs="Arial"/>
          <w:i/>
          <w:sz w:val="22"/>
          <w:szCs w:val="22"/>
          <w:lang w:val="en-GB"/>
        </w:rPr>
        <w:t xml:space="preserve">* </w:t>
      </w:r>
      <w:proofErr w:type="gramStart"/>
      <w:r w:rsidRPr="00CA0B38">
        <w:rPr>
          <w:rFonts w:ascii="Arial" w:eastAsia="Calibri" w:hAnsi="Arial" w:cs="Arial"/>
          <w:i/>
          <w:sz w:val="22"/>
          <w:szCs w:val="22"/>
          <w:lang w:val="en-GB"/>
        </w:rPr>
        <w:t>in</w:t>
      </w:r>
      <w:proofErr w:type="gramEnd"/>
      <w:r w:rsidRPr="00CA0B38">
        <w:rPr>
          <w:rFonts w:ascii="Arial" w:eastAsia="Calibri" w:hAnsi="Arial" w:cs="Arial"/>
          <w:i/>
          <w:sz w:val="22"/>
          <w:szCs w:val="22"/>
          <w:lang w:val="en-GB"/>
        </w:rPr>
        <w:t xml:space="preserve"> Millions of yen</w:t>
      </w:r>
    </w:p>
    <w:p w:rsid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CA0B38" w:rsidRPr="00CA0B38" w:rsidRDefault="00CA0B38" w:rsidP="00CA0B3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CA0B38">
        <w:rPr>
          <w:rFonts w:ascii="Arial" w:eastAsia="Calibri" w:hAnsi="Arial" w:cs="Arial"/>
          <w:b/>
          <w:bCs/>
          <w:sz w:val="22"/>
          <w:szCs w:val="22"/>
          <w:lang w:val="en-GB"/>
        </w:rPr>
        <w:t>Results by Business Segment and by Region</w:t>
      </w:r>
    </w:p>
    <w:tbl>
      <w:tblPr>
        <w:tblStyle w:val="Tabellengitternetz"/>
        <w:tblW w:w="0" w:type="auto"/>
        <w:tblLook w:val="04A0"/>
      </w:tblPr>
      <w:tblGrid>
        <w:gridCol w:w="3070"/>
        <w:gridCol w:w="3071"/>
        <w:gridCol w:w="3071"/>
      </w:tblGrid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Jan. 1–Dec. 31, 2014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Jan. 1–Dec. 31, 2013</w:t>
            </w:r>
          </w:p>
        </w:tc>
      </w:tr>
      <w:tr w:rsidR="00FD7449" w:rsidTr="00FD7449">
        <w:tc>
          <w:tcPr>
            <w:tcW w:w="3070" w:type="dxa"/>
          </w:tcPr>
          <w:p w:rsidR="00FD7449" w:rsidRP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By business segment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Sales to third parties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Default="00FD7449" w:rsidP="008972E1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T</w:t>
            </w:r>
            <w:r w:rsidR="008972E1">
              <w:rPr>
                <w:rFonts w:ascii="Arial" w:eastAsia="Calibri" w:hAnsi="Arial" w:cs="Arial"/>
                <w:sz w:val="22"/>
                <w:szCs w:val="22"/>
                <w:lang w:val="en-GB"/>
              </w:rPr>
              <w:t>y</w:t>
            </w: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res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497,572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479,522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Industrial products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101,450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96,882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Other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26,222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25,224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Operating income (loss)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Default="008972E1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Ty</w:t>
            </w:r>
            <w:r w:rsidR="00FD7449"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res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48,577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46,021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Industrial products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7,579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7,689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Other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2,893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2,954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Eliminations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16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(18)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P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By geographical segment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Sales to third parties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Japan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374,419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369,700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North America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145,536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134,381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Asia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56,663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47,897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Other regions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48,626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49,650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Operating income (loss)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Japan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48,739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52,187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North America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2,905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4,862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Asia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9,273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3,643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Other regions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(1,059)</w:t>
            </w:r>
          </w:p>
        </w:tc>
        <w:tc>
          <w:tcPr>
            <w:tcW w:w="3071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(2,685)</w:t>
            </w:r>
          </w:p>
        </w:tc>
      </w:tr>
      <w:tr w:rsidR="00FD7449" w:rsidTr="00FD7449">
        <w:tc>
          <w:tcPr>
            <w:tcW w:w="3070" w:type="dxa"/>
          </w:tcPr>
          <w:p w:rsidR="00FD7449" w:rsidRDefault="00FD7449" w:rsidP="00CA0B3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Eliminations</w:t>
            </w:r>
          </w:p>
        </w:tc>
        <w:tc>
          <w:tcPr>
            <w:tcW w:w="3071" w:type="dxa"/>
          </w:tcPr>
          <w:p w:rsidR="00FD7449" w:rsidRDefault="00FD7449" w:rsidP="00FD7449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(792)</w:t>
            </w:r>
          </w:p>
        </w:tc>
        <w:tc>
          <w:tcPr>
            <w:tcW w:w="3071" w:type="dxa"/>
          </w:tcPr>
          <w:p w:rsidR="00FD7449" w:rsidRDefault="00FD7449" w:rsidP="00FD7449">
            <w:pPr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CA0B38">
              <w:rPr>
                <w:rFonts w:ascii="Arial" w:eastAsia="Calibri" w:hAnsi="Arial" w:cs="Arial"/>
                <w:sz w:val="22"/>
                <w:szCs w:val="22"/>
                <w:lang w:val="en-GB"/>
              </w:rPr>
              <w:t>(1,361)</w:t>
            </w:r>
          </w:p>
        </w:tc>
      </w:tr>
    </w:tbl>
    <w:p w:rsidR="00355105" w:rsidRDefault="00355105" w:rsidP="00355105">
      <w:pPr>
        <w:autoSpaceDE w:val="0"/>
        <w:autoSpaceDN w:val="0"/>
        <w:adjustRightInd w:val="0"/>
        <w:ind w:left="720"/>
        <w:jc w:val="both"/>
        <w:rPr>
          <w:rFonts w:ascii="Arial" w:eastAsia="Calibri" w:hAnsi="Arial" w:cs="Arial"/>
          <w:i/>
          <w:sz w:val="22"/>
          <w:szCs w:val="22"/>
          <w:lang w:val="en-GB"/>
        </w:rPr>
      </w:pPr>
      <w:r w:rsidRPr="00CA0B38">
        <w:rPr>
          <w:rFonts w:ascii="Arial" w:eastAsia="Calibri" w:hAnsi="Arial" w:cs="Arial"/>
          <w:i/>
          <w:sz w:val="22"/>
          <w:szCs w:val="22"/>
          <w:lang w:val="en-GB"/>
        </w:rPr>
        <w:t xml:space="preserve">* </w:t>
      </w:r>
      <w:proofErr w:type="gramStart"/>
      <w:r w:rsidRPr="00CA0B38">
        <w:rPr>
          <w:rFonts w:ascii="Arial" w:eastAsia="Calibri" w:hAnsi="Arial" w:cs="Arial"/>
          <w:i/>
          <w:sz w:val="22"/>
          <w:szCs w:val="22"/>
          <w:lang w:val="en-GB"/>
        </w:rPr>
        <w:t>in</w:t>
      </w:r>
      <w:proofErr w:type="gramEnd"/>
      <w:r w:rsidRPr="00CA0B38">
        <w:rPr>
          <w:rFonts w:ascii="Arial" w:eastAsia="Calibri" w:hAnsi="Arial" w:cs="Arial"/>
          <w:i/>
          <w:sz w:val="22"/>
          <w:szCs w:val="22"/>
          <w:lang w:val="en-GB"/>
        </w:rPr>
        <w:t xml:space="preserve"> Millions of yen</w:t>
      </w:r>
    </w:p>
    <w:p w:rsidR="00355105" w:rsidRDefault="00355105" w:rsidP="00355105">
      <w:pPr>
        <w:autoSpaceDE w:val="0"/>
        <w:autoSpaceDN w:val="0"/>
        <w:adjustRightInd w:val="0"/>
        <w:ind w:left="720"/>
        <w:rPr>
          <w:rFonts w:ascii="Arial" w:eastAsia="Calibri" w:hAnsi="Arial" w:cs="Arial"/>
          <w:i/>
          <w:sz w:val="22"/>
          <w:szCs w:val="22"/>
          <w:lang w:val="en-GB"/>
        </w:rPr>
      </w:pPr>
    </w:p>
    <w:p w:rsidR="00355105" w:rsidRPr="00CA0B38" w:rsidRDefault="00355105" w:rsidP="0035510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55105" w:rsidRPr="00CA0B38" w:rsidRDefault="00355105" w:rsidP="00355105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iCs/>
          <w:sz w:val="22"/>
          <w:szCs w:val="22"/>
          <w:lang w:val="en-GB"/>
        </w:rPr>
      </w:pPr>
      <w:r w:rsidRPr="00CA0B38">
        <w:rPr>
          <w:rFonts w:ascii="Arial" w:eastAsia="Calibri" w:hAnsi="Arial" w:cs="Arial"/>
          <w:i/>
          <w:iCs/>
          <w:sz w:val="22"/>
          <w:szCs w:val="22"/>
          <w:lang w:val="en-GB"/>
        </w:rPr>
        <w:t>Notes:</w:t>
      </w:r>
    </w:p>
    <w:p w:rsidR="00355105" w:rsidRDefault="00355105" w:rsidP="0035510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1. </w:t>
      </w:r>
      <w:r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 xml:space="preserve"> has prepared this information in accordance with accounting principles generally accepted in Japan.</w:t>
      </w:r>
    </w:p>
    <w:p w:rsidR="00355105" w:rsidRPr="00CA0B38" w:rsidRDefault="00355105" w:rsidP="0035510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355105" w:rsidRPr="00CA0B38" w:rsidRDefault="00355105" w:rsidP="00355105">
      <w:pPr>
        <w:autoSpaceDE w:val="0"/>
        <w:autoSpaceDN w:val="0"/>
        <w:adjustRightInd w:val="0"/>
        <w:jc w:val="both"/>
        <w:rPr>
          <w:rFonts w:ascii="Arial" w:eastAsia="Calibri" w:hAnsi="Arial" w:cs="Arial"/>
          <w:i/>
          <w:sz w:val="22"/>
          <w:szCs w:val="22"/>
          <w:lang w:val="en-GB"/>
        </w:rPr>
      </w:pPr>
      <w:r w:rsidRPr="00CA0B38">
        <w:rPr>
          <w:rFonts w:ascii="Arial" w:eastAsia="Calibri" w:hAnsi="Arial" w:cs="Arial"/>
          <w:sz w:val="22"/>
          <w:szCs w:val="22"/>
          <w:lang w:val="en-GB"/>
        </w:rPr>
        <w:t>2. North America refers to Canada and the United States; Asia to China, the Philippines, Taiwan, and Thailand; and Other regions to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CA0B38">
        <w:rPr>
          <w:rFonts w:ascii="Arial" w:eastAsia="Calibri" w:hAnsi="Arial" w:cs="Arial"/>
          <w:sz w:val="22"/>
          <w:szCs w:val="22"/>
          <w:lang w:val="en-GB"/>
        </w:rPr>
        <w:t>Europe and Oceania.</w:t>
      </w:r>
    </w:p>
    <w:sectPr w:rsidR="00355105" w:rsidRPr="00CA0B38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449" w:rsidRDefault="00FD7449" w:rsidP="00B25742">
      <w:r>
        <w:separator/>
      </w:r>
    </w:p>
  </w:endnote>
  <w:endnote w:type="continuationSeparator" w:id="0">
    <w:p w:rsidR="00FD7449" w:rsidRDefault="00FD744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449" w:rsidRDefault="00FD744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449" w:rsidRDefault="00FD7449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449" w:rsidRDefault="00FD7449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449" w:rsidRDefault="00FD7449" w:rsidP="00B25742">
      <w:r>
        <w:separator/>
      </w:r>
    </w:p>
  </w:footnote>
  <w:footnote w:type="continuationSeparator" w:id="0">
    <w:p w:rsidR="00FD7449" w:rsidRDefault="00FD744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449" w:rsidRDefault="00FD744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449" w:rsidRPr="00B25742" w:rsidRDefault="00FD7449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7449" w:rsidRDefault="00FD7449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C76701"/>
    <w:multiLevelType w:val="hybridMultilevel"/>
    <w:tmpl w:val="E25096EE"/>
    <w:lvl w:ilvl="0" w:tplc="EFE0F3BA">
      <w:start w:val="10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721902"/>
    <w:multiLevelType w:val="hybridMultilevel"/>
    <w:tmpl w:val="ABAEA318"/>
    <w:lvl w:ilvl="0" w:tplc="49FA7D5C">
      <w:start w:val="108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55105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2E1"/>
    <w:rsid w:val="0089752E"/>
    <w:rsid w:val="008B05D8"/>
    <w:rsid w:val="008C2946"/>
    <w:rsid w:val="008C59C0"/>
    <w:rsid w:val="008C7707"/>
    <w:rsid w:val="008D56EF"/>
    <w:rsid w:val="008D6D7B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0B38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D7449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CA0B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A0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683</Words>
  <Characters>4310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2014-08-28T15:02:00Z</cp:lastPrinted>
  <dcterms:created xsi:type="dcterms:W3CDTF">2015-02-13T07:31:00Z</dcterms:created>
  <dcterms:modified xsi:type="dcterms:W3CDTF">2015-02-13T07:44:00Z</dcterms:modified>
</cp:coreProperties>
</file>